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2C" w:rsidRDefault="003E562C" w:rsidP="003E562C">
      <w:pPr>
        <w:jc w:val="center"/>
        <w:rPr>
          <w:sz w:val="26"/>
          <w:szCs w:val="26"/>
        </w:rPr>
      </w:pPr>
      <w:r w:rsidRPr="00B54B71">
        <w:rPr>
          <w:sz w:val="26"/>
          <w:szCs w:val="26"/>
        </w:rPr>
        <w:t>Особенности регистрации прав на объекты культурного наследия</w:t>
      </w:r>
    </w:p>
    <w:p w:rsidR="00B54B71" w:rsidRDefault="00B54B71" w:rsidP="003E562C">
      <w:pPr>
        <w:jc w:val="center"/>
        <w:rPr>
          <w:sz w:val="26"/>
          <w:szCs w:val="26"/>
        </w:rPr>
      </w:pPr>
    </w:p>
    <w:p w:rsidR="00B54B71" w:rsidRPr="00B54B71" w:rsidRDefault="00B54B71" w:rsidP="003E562C">
      <w:pPr>
        <w:jc w:val="center"/>
        <w:rPr>
          <w:sz w:val="26"/>
          <w:szCs w:val="26"/>
        </w:rPr>
      </w:pP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sz w:val="26"/>
          <w:szCs w:val="26"/>
        </w:rPr>
        <w:t xml:space="preserve">Объектами культурного наследия, помимо </w:t>
      </w:r>
      <w:r w:rsidRPr="00B54B71">
        <w:rPr>
          <w:rFonts w:eastAsia="Calibri"/>
          <w:sz w:val="26"/>
          <w:szCs w:val="26"/>
          <w:lang w:eastAsia="en-US"/>
        </w:rPr>
        <w:t>произведений живописи, декоративно-прикладного искусства, объектов науки и техники, выступают и объекты недвижимости. На территории города Новосибирска и Новосибирской области более 20 таких объектов – памятников архитектуры и истории.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color w:val="000000"/>
          <w:sz w:val="26"/>
          <w:szCs w:val="26"/>
          <w:shd w:val="clear" w:color="auto" w:fill="FFFFFF"/>
        </w:rPr>
        <w:t>Сохранение объектов культурного наследия является важной задачей государства, поэтому з</w:t>
      </w:r>
      <w:r w:rsidRPr="00B54B71">
        <w:rPr>
          <w:sz w:val="26"/>
          <w:szCs w:val="26"/>
          <w:shd w:val="clear" w:color="auto" w:fill="FFFFFF"/>
        </w:rPr>
        <w:t>аконом установлены особенности владения, пользования и распоряжения памятниками истории и культуры.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>Собственникам, потенциальным покупателям, арендаторам необходимо учитывать ряд особенностей регистрации прав и сделок  с такими объектами.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>При государственной регистрации права собственности на объект культурного наследия собственник принимает на себя обязательство по его содержанию и сохранению.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>Требования по сохранению, содержанию и использованию, а также обязанности правообладателя указаны в охранном обязательстве собственника или иного законного владельца объекта культурного наследия, которое выдается в отношении всего объекта.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>Особенностью государственной регистрации права собственности на объект культурного наследия является одновременная регистрация права собственности и ограничения права на основании охранного обязательства.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>Если к моменту обращения за регистрацией права оформлены документы, установившие требования к сохранению, содержанию и использованию объекта культурного наследия, то заявления о государственной регистрации прав и ограничения (обременения) на основании охранного обязательства подаются одновременно.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sz w:val="26"/>
          <w:szCs w:val="26"/>
        </w:rPr>
        <w:t xml:space="preserve">Если на момент совершения сделки действует охранное обязательство, то договор (купли-продажи, дарения, мены, аренды или безвозмездного пользования) должен содержать в качестве существенного условия обязательство лица, у которого на основании такого договора возникают права, по выполнению требований к содержанию и использованию объекта культурного наследия. 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sz w:val="26"/>
          <w:szCs w:val="26"/>
        </w:rPr>
        <w:t>Обязательным приложением к договору является копия охранного обязательства.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sz w:val="26"/>
          <w:szCs w:val="26"/>
        </w:rPr>
        <w:t>В случае отсутствия в договоре указанного существенного условия и копии охранного обязательства в качестве приложения сделка является ничтожной. Права и обременения, возникающие на основании такой сделки, не подлежат государственной регистрации.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color w:val="000000"/>
          <w:sz w:val="26"/>
          <w:szCs w:val="26"/>
          <w:shd w:val="clear" w:color="auto" w:fill="FFFFFF"/>
        </w:rPr>
        <w:t>До утверждения в установленном порядке охранного обязательства к договору должны быть приложены иные действующие охранные документы:</w:t>
      </w:r>
      <w:r w:rsidRPr="00B54B71">
        <w:rPr>
          <w:color w:val="000000"/>
          <w:sz w:val="26"/>
          <w:szCs w:val="26"/>
        </w:rPr>
        <w:t xml:space="preserve"> </w:t>
      </w:r>
      <w:r w:rsidRPr="00B54B71">
        <w:rPr>
          <w:sz w:val="26"/>
          <w:szCs w:val="26"/>
        </w:rPr>
        <w:t>охранно-арендный договор, охранный договор или охранное обязательство в отношении памятника истории и культуры, охранное обязательство собственника объекта культурного наследия или охранное обязательство пользователя объектом культурного наследия, а также паспорт объекта культурного наследия (при его наличии).</w:t>
      </w:r>
    </w:p>
    <w:p w:rsidR="003E562C" w:rsidRPr="00B54B71" w:rsidRDefault="003E562C" w:rsidP="003E562C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54B71">
        <w:rPr>
          <w:rFonts w:eastAsia="Calibri"/>
          <w:sz w:val="26"/>
          <w:szCs w:val="26"/>
          <w:lang w:eastAsia="en-US"/>
        </w:rPr>
        <w:t xml:space="preserve">Кроме того, договор безвозмездного пользования (ссуды) выявленным или включенным в реестр объектом культурного наследия подлежит государственной </w:t>
      </w:r>
      <w:r w:rsidRPr="00B54B71">
        <w:rPr>
          <w:rFonts w:eastAsia="Calibri"/>
          <w:sz w:val="26"/>
          <w:szCs w:val="26"/>
          <w:lang w:eastAsia="en-US"/>
        </w:rPr>
        <w:lastRenderedPageBreak/>
        <w:t xml:space="preserve">регистрации в Едином государственном реестре недвижимости по правилам регистрации договора аренды. </w:t>
      </w:r>
    </w:p>
    <w:p w:rsidR="00B54B71" w:rsidRDefault="00B54B71" w:rsidP="00B54B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54B71" w:rsidRDefault="00B54B71" w:rsidP="00B54B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Межмуниципальный Куйбышевский отдел </w:t>
      </w:r>
    </w:p>
    <w:p w:rsidR="00B54B71" w:rsidRDefault="00B54B71" w:rsidP="00B54B7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Управления Росреестра по Новосибирской области</w:t>
      </w:r>
    </w:p>
    <w:p w:rsidR="00053153" w:rsidRPr="00400C35" w:rsidRDefault="00053153" w:rsidP="00B54B71">
      <w:pPr>
        <w:pStyle w:val="ConsPlusNormal"/>
        <w:jc w:val="right"/>
        <w:rPr>
          <w:color w:val="0000FF"/>
          <w:u w:val="single"/>
        </w:rPr>
      </w:pPr>
    </w:p>
    <w:sectPr w:rsidR="00053153" w:rsidRPr="00400C35" w:rsidSect="0050355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14" w:rsidRDefault="00412B14">
      <w:r>
        <w:separator/>
      </w:r>
    </w:p>
  </w:endnote>
  <w:endnote w:type="continuationSeparator" w:id="0">
    <w:p w:rsidR="00412B14" w:rsidRDefault="0041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14" w:rsidRDefault="00412B14">
      <w:r>
        <w:separator/>
      </w:r>
    </w:p>
  </w:footnote>
  <w:footnote w:type="continuationSeparator" w:id="0">
    <w:p w:rsidR="00412B14" w:rsidRDefault="00412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4B71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57E58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3E562C"/>
    <w:rsid w:val="00400C35"/>
    <w:rsid w:val="00412B14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4B71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AFA7-B899-4E7D-BF6F-3C22BFCD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3019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2019-10-21T02:33:00Z</dcterms:created>
  <dcterms:modified xsi:type="dcterms:W3CDTF">2019-10-21T02:33:00Z</dcterms:modified>
</cp:coreProperties>
</file>